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48A36" w14:textId="17555CCF" w:rsidR="009342E5" w:rsidRPr="00E471E2" w:rsidRDefault="009342E5" w:rsidP="009342E5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  <w:r w:rsidRPr="00E471E2">
        <w:rPr>
          <w:rFonts w:ascii="Arial" w:hAnsi="Arial" w:cs="Arial"/>
          <w:b/>
          <w:sz w:val="28"/>
          <w:szCs w:val="28"/>
        </w:rPr>
        <w:t>GLI INCOGNITI</w:t>
      </w:r>
    </w:p>
    <w:p w14:paraId="4156ECF1" w14:textId="77777777" w:rsidR="009342E5" w:rsidRPr="006426B8" w:rsidRDefault="009342E5" w:rsidP="009342E5">
      <w:pPr>
        <w:contextualSpacing/>
        <w:jc w:val="center"/>
        <w:rPr>
          <w:b/>
          <w:bCs/>
        </w:rPr>
      </w:pPr>
    </w:p>
    <w:p w14:paraId="3ECCC3A6" w14:textId="77777777" w:rsidR="009342E5" w:rsidRPr="00E471E2" w:rsidRDefault="007B4984" w:rsidP="0093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de-DE"/>
        </w:rPr>
      </w:pPr>
      <w:r w:rsidRPr="00E471E2">
        <w:rPr>
          <w:rFonts w:ascii="Arial" w:hAnsi="Arial" w:cs="Arial"/>
          <w:color w:val="000000" w:themeColor="text1"/>
          <w:sz w:val="21"/>
          <w:szCs w:val="21"/>
        </w:rPr>
        <w:t xml:space="preserve">2006 </w:t>
      </w:r>
      <w:r w:rsidR="009342E5" w:rsidRPr="00E471E2">
        <w:rPr>
          <w:rFonts w:ascii="Arial" w:hAnsi="Arial" w:cs="Arial"/>
          <w:color w:val="000000" w:themeColor="text1"/>
          <w:sz w:val="21"/>
          <w:szCs w:val="21"/>
        </w:rPr>
        <w:t xml:space="preserve">gründet </w:t>
      </w:r>
      <w:r w:rsidR="009342E5" w:rsidRPr="00E471E2">
        <w:rPr>
          <w:rFonts w:ascii="Arial" w:hAnsi="Arial" w:cs="Arial"/>
          <w:b/>
          <w:color w:val="000000" w:themeColor="text1"/>
          <w:sz w:val="21"/>
          <w:szCs w:val="21"/>
        </w:rPr>
        <w:t>Amandine Beyer</w:t>
      </w:r>
      <w:r w:rsidR="009342E5" w:rsidRPr="00E471E2">
        <w:rPr>
          <w:rFonts w:ascii="Arial" w:hAnsi="Arial" w:cs="Arial"/>
          <w:color w:val="000000" w:themeColor="text1"/>
          <w:sz w:val="21"/>
          <w:szCs w:val="21"/>
        </w:rPr>
        <w:t xml:space="preserve"> gemeinsam mit Freunden das Ensemble </w:t>
      </w:r>
      <w:r w:rsidR="009342E5" w:rsidRPr="00E471E2">
        <w:rPr>
          <w:rFonts w:ascii="Arial" w:hAnsi="Arial" w:cs="Arial"/>
          <w:b/>
          <w:color w:val="000000" w:themeColor="text1"/>
          <w:sz w:val="21"/>
          <w:szCs w:val="21"/>
        </w:rPr>
        <w:t>Gli Incogniti</w:t>
      </w:r>
      <w:r w:rsidR="009342E5" w:rsidRPr="00E471E2">
        <w:rPr>
          <w:rFonts w:ascii="Arial" w:hAnsi="Arial" w:cs="Arial"/>
          <w:color w:val="000000" w:themeColor="text1"/>
          <w:sz w:val="21"/>
          <w:szCs w:val="21"/>
        </w:rPr>
        <w:t xml:space="preserve">, das zu seinem Namen von der </w:t>
      </w:r>
      <w:r w:rsidR="009342E5" w:rsidRPr="00E471E2">
        <w:rPr>
          <w:rFonts w:ascii="Arial" w:hAnsi="Arial" w:cs="Arial"/>
          <w:i/>
          <w:color w:val="000000" w:themeColor="text1"/>
          <w:sz w:val="21"/>
          <w:szCs w:val="21"/>
        </w:rPr>
        <w:t xml:space="preserve">Accademia </w:t>
      </w:r>
      <w:proofErr w:type="spellStart"/>
      <w:r w:rsidR="009342E5" w:rsidRPr="00E471E2">
        <w:rPr>
          <w:rFonts w:ascii="Arial" w:hAnsi="Arial" w:cs="Arial"/>
          <w:i/>
          <w:color w:val="000000" w:themeColor="text1"/>
          <w:sz w:val="21"/>
          <w:szCs w:val="21"/>
        </w:rPr>
        <w:t>degli</w:t>
      </w:r>
      <w:proofErr w:type="spellEnd"/>
      <w:r w:rsidR="009342E5" w:rsidRPr="00E471E2">
        <w:rPr>
          <w:rFonts w:ascii="Arial" w:hAnsi="Arial" w:cs="Arial"/>
          <w:i/>
          <w:color w:val="000000" w:themeColor="text1"/>
          <w:sz w:val="21"/>
          <w:szCs w:val="21"/>
        </w:rPr>
        <w:t xml:space="preserve"> </w:t>
      </w:r>
      <w:proofErr w:type="spellStart"/>
      <w:r w:rsidR="009342E5" w:rsidRPr="00E471E2">
        <w:rPr>
          <w:rFonts w:ascii="Arial" w:hAnsi="Arial" w:cs="Arial"/>
          <w:i/>
          <w:color w:val="000000" w:themeColor="text1"/>
          <w:sz w:val="21"/>
          <w:szCs w:val="21"/>
        </w:rPr>
        <w:t>Incogniti</w:t>
      </w:r>
      <w:proofErr w:type="spellEnd"/>
      <w:r w:rsidR="009342E5" w:rsidRPr="00E471E2">
        <w:rPr>
          <w:rFonts w:ascii="Arial" w:hAnsi="Arial" w:cs="Arial"/>
          <w:color w:val="000000" w:themeColor="text1"/>
          <w:sz w:val="21"/>
          <w:szCs w:val="21"/>
        </w:rPr>
        <w:t xml:space="preserve"> (der „Akademie der Unbekannten“) inspiriert wurde, einem der aktivsten und libertärsten Zirkel von Künstlern und Gelehrten im Venedig des 17. Jahrhunderts. </w:t>
      </w:r>
    </w:p>
    <w:p w14:paraId="507A98F0" w14:textId="77777777" w:rsidR="009342E5" w:rsidRPr="00E471E2" w:rsidRDefault="009342E5" w:rsidP="009342E5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</w:rPr>
      </w:pPr>
    </w:p>
    <w:p w14:paraId="0A49FCAB" w14:textId="77777777" w:rsidR="009342E5" w:rsidRPr="00E471E2" w:rsidRDefault="009342E5" w:rsidP="0093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E471E2">
        <w:rPr>
          <w:rFonts w:ascii="Arial" w:eastAsia="Times New Roman" w:hAnsi="Arial" w:cs="Arial"/>
          <w:color w:val="000000" w:themeColor="text1"/>
          <w:sz w:val="21"/>
          <w:szCs w:val="21"/>
          <w:lang w:eastAsia="de-DE"/>
        </w:rPr>
        <w:t xml:space="preserve">Die Gruppe zählt heute zu den weltweit führenden Ensembles für historisch informierte Aufführungspraxis, erforscht aber auch das klassische Repertoire. </w:t>
      </w:r>
    </w:p>
    <w:p w14:paraId="536ED88D" w14:textId="375E68F9" w:rsidR="009342E5" w:rsidRPr="00E471E2" w:rsidRDefault="009342E5" w:rsidP="009342E5">
      <w:pPr>
        <w:pStyle w:val="HTMLVorformatiert"/>
        <w:jc w:val="both"/>
        <w:rPr>
          <w:rStyle w:val="y2iqfc"/>
          <w:rFonts w:ascii="Arial" w:hAnsi="Arial" w:cs="Arial"/>
          <w:color w:val="000000" w:themeColor="text1"/>
          <w:sz w:val="21"/>
          <w:szCs w:val="21"/>
        </w:rPr>
      </w:pPr>
      <w:r w:rsidRPr="00E471E2">
        <w:rPr>
          <w:rFonts w:ascii="Arial" w:hAnsi="Arial" w:cs="Arial"/>
          <w:color w:val="000000" w:themeColor="text1"/>
          <w:sz w:val="21"/>
          <w:szCs w:val="21"/>
        </w:rPr>
        <w:br/>
        <w:t>Gli Incogniti treten regelmäßig bei zahlreichen Festivals und in den bekanntesten Konzertsälen in Frankreich und weltweit auf</w:t>
      </w:r>
      <w:r w:rsidR="000D64C0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>Philharmonie de Paris, Théâtre des Champs-Elysées,</w:t>
      </w:r>
      <w:r w:rsidR="00B73E5A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Auditorium de Radio France,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in den Opernhäuser von Bordeaux, Dijon oder Rouen, Wigmore Hall,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>Oji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Hall in Tokio, Philharmonie du Luxembourg, BOZAR in Brüssel, Oude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>Muziek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Utrecht,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>Royaumont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>Foundation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, Arsenal de Metz, Théâtre de la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>Ville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, </w:t>
      </w:r>
      <w:r w:rsidRPr="00E471E2">
        <w:rPr>
          <w:rFonts w:ascii="Arial" w:hAnsi="Arial" w:cs="Arial"/>
          <w:color w:val="000000" w:themeColor="text1"/>
          <w:sz w:val="21"/>
          <w:szCs w:val="21"/>
        </w:rPr>
        <w:t>Boston Festival, Printemps des Arts de Monte-Carlo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, </w:t>
      </w:r>
      <w:r w:rsidRPr="00E471E2">
        <w:rPr>
          <w:rFonts w:ascii="Arial" w:hAnsi="Arial" w:cs="Arial"/>
          <w:color w:val="000000" w:themeColor="text1"/>
          <w:sz w:val="21"/>
          <w:szCs w:val="21"/>
        </w:rPr>
        <w:t>International Bergen Festival</w:t>
      </w:r>
      <w:r w:rsidR="000D64C0">
        <w:rPr>
          <w:rFonts w:ascii="Arial" w:hAnsi="Arial" w:cs="Arial"/>
          <w:color w:val="000000" w:themeColor="text1"/>
          <w:sz w:val="21"/>
          <w:szCs w:val="21"/>
        </w:rPr>
        <w:t>…</w:t>
      </w:r>
    </w:p>
    <w:p w14:paraId="5E768E69" w14:textId="77777777" w:rsidR="009342E5" w:rsidRPr="00E471E2" w:rsidRDefault="009342E5" w:rsidP="009342E5">
      <w:pPr>
        <w:pStyle w:val="HTMLVorformatiert"/>
        <w:rPr>
          <w:rStyle w:val="y2iqfc"/>
          <w:rFonts w:ascii="Arial" w:hAnsi="Arial" w:cs="Arial"/>
          <w:color w:val="000000" w:themeColor="text1"/>
          <w:sz w:val="21"/>
          <w:szCs w:val="21"/>
        </w:rPr>
      </w:pPr>
    </w:p>
    <w:p w14:paraId="05422F49" w14:textId="77777777" w:rsidR="009342E5" w:rsidRPr="00E471E2" w:rsidRDefault="009342E5" w:rsidP="009342E5">
      <w:pPr>
        <w:contextualSpacing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E471E2">
        <w:rPr>
          <w:rFonts w:ascii="Arial" w:hAnsi="Arial" w:cs="Arial"/>
          <w:color w:val="000000" w:themeColor="text1"/>
          <w:sz w:val="21"/>
          <w:szCs w:val="21"/>
        </w:rPr>
        <w:t>Auch in Deutschland ist das Ensemble regelmäßig bei renommierten Veranstaltern wie NDR Das Alte Werk, Tage Alter Musik Regensburg, Musikfestspiele Potsdam Sanssouci, Händel-Festspiele Halle, Weimarer Bach-Biennale, Philharmonie Essen, Neumarkter Konzertfreunde, oder im Markgräflichen Opernhaus Bayreuth zu Gast.</w:t>
      </w:r>
    </w:p>
    <w:p w14:paraId="571CAE87" w14:textId="77777777" w:rsidR="009342E5" w:rsidRPr="00E471E2" w:rsidRDefault="009342E5" w:rsidP="009342E5">
      <w:pPr>
        <w:contextualSpacing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26054ED" w14:textId="72D4C42B" w:rsidR="009342E5" w:rsidRPr="000D64C0" w:rsidRDefault="009342E5" w:rsidP="009342E5">
      <w:pPr>
        <w:contextualSpacing/>
        <w:jc w:val="both"/>
        <w:rPr>
          <w:rStyle w:val="y2iqfc"/>
          <w:rFonts w:ascii="Arial" w:hAnsi="Arial" w:cs="Arial"/>
          <w:sz w:val="21"/>
          <w:szCs w:val="21"/>
        </w:rPr>
      </w:pPr>
      <w:r w:rsidRPr="000D64C0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Zahlreiche Zusammenarbeiten verbinden Gli </w:t>
      </w:r>
      <w:proofErr w:type="spellStart"/>
      <w:r w:rsidRPr="000D64C0">
        <w:rPr>
          <w:rStyle w:val="y2iqfc"/>
          <w:rFonts w:ascii="Arial" w:hAnsi="Arial" w:cs="Arial"/>
          <w:color w:val="000000" w:themeColor="text1"/>
          <w:sz w:val="21"/>
          <w:szCs w:val="21"/>
        </w:rPr>
        <w:t>Incogniti</w:t>
      </w:r>
      <w:proofErr w:type="spellEnd"/>
      <w:r w:rsidRPr="000D64C0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mit </w:t>
      </w:r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Giuliano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Carmignola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, Kristian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Bezuidenhout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, Andreas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Staier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, Maria Cristina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Kiehr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Alexeï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Lubimov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, Hans-Jörg </w:t>
      </w:r>
      <w:proofErr w:type="spellStart"/>
      <w:r w:rsidRPr="000D64C0">
        <w:rPr>
          <w:rFonts w:ascii="Arial" w:hAnsi="Arial" w:cs="Arial"/>
          <w:color w:val="000000" w:themeColor="text1"/>
          <w:sz w:val="21"/>
          <w:szCs w:val="21"/>
        </w:rPr>
        <w:t>Mammel</w:t>
      </w:r>
      <w:proofErr w:type="spellEnd"/>
      <w:r w:rsidRPr="000D64C0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Pr="000D64C0">
        <w:rPr>
          <w:rStyle w:val="y2iqfc"/>
          <w:rFonts w:ascii="Arial" w:hAnsi="Arial" w:cs="Arial"/>
          <w:sz w:val="21"/>
          <w:szCs w:val="21"/>
        </w:rPr>
        <w:t xml:space="preserve">aber auch mit Rosas, die Tanzkompanie von Anne Teresa de Keersmaeker oder mit der Sängergruppe La </w:t>
      </w:r>
      <w:proofErr w:type="spellStart"/>
      <w:r w:rsidRPr="000D64C0">
        <w:rPr>
          <w:rStyle w:val="y2iqfc"/>
          <w:rFonts w:ascii="Arial" w:hAnsi="Arial" w:cs="Arial"/>
          <w:sz w:val="21"/>
          <w:szCs w:val="21"/>
        </w:rPr>
        <w:t>Manufacture</w:t>
      </w:r>
      <w:proofErr w:type="spellEnd"/>
      <w:r w:rsidRPr="000D64C0">
        <w:rPr>
          <w:rStyle w:val="y2iqfc"/>
          <w:rFonts w:ascii="Arial" w:hAnsi="Arial" w:cs="Arial"/>
          <w:sz w:val="21"/>
          <w:szCs w:val="21"/>
        </w:rPr>
        <w:t xml:space="preserve"> verbale.                                                                                                                                                     </w:t>
      </w:r>
    </w:p>
    <w:p w14:paraId="398C9298" w14:textId="77777777" w:rsidR="000D64C0" w:rsidRDefault="000D64C0" w:rsidP="009342E5">
      <w:pPr>
        <w:pStyle w:val="HTMLVorformatiert"/>
        <w:jc w:val="both"/>
        <w:rPr>
          <w:rStyle w:val="y2iqfc"/>
          <w:rFonts w:ascii="Arial" w:hAnsi="Arial" w:cs="Arial"/>
          <w:color w:val="000000" w:themeColor="text1"/>
          <w:sz w:val="21"/>
          <w:szCs w:val="21"/>
        </w:rPr>
      </w:pPr>
    </w:p>
    <w:p w14:paraId="11EC3504" w14:textId="101905D5" w:rsidR="000D64C0" w:rsidRPr="005134BA" w:rsidRDefault="000D64C0" w:rsidP="009342E5">
      <w:pPr>
        <w:pStyle w:val="HTMLVorformatiert"/>
        <w:jc w:val="both"/>
        <w:rPr>
          <w:rStyle w:val="y2iqfc"/>
          <w:rFonts w:ascii="Arial" w:hAnsi="Arial" w:cs="Arial"/>
          <w:sz w:val="21"/>
          <w:szCs w:val="21"/>
        </w:rPr>
      </w:pPr>
      <w:proofErr w:type="spellStart"/>
      <w:r w:rsidRPr="005134BA">
        <w:rPr>
          <w:rStyle w:val="y2iqfc"/>
          <w:rFonts w:ascii="Arial" w:hAnsi="Arial" w:cs="Arial"/>
          <w:sz w:val="21"/>
          <w:szCs w:val="21"/>
        </w:rPr>
        <w:t>Gli</w:t>
      </w:r>
      <w:proofErr w:type="spellEnd"/>
      <w:r w:rsidRPr="005134BA">
        <w:rPr>
          <w:rStyle w:val="y2iqfc"/>
          <w:rFonts w:ascii="Arial" w:hAnsi="Arial" w:cs="Arial"/>
          <w:sz w:val="21"/>
          <w:szCs w:val="21"/>
        </w:rPr>
        <w:t xml:space="preserve"> </w:t>
      </w:r>
      <w:proofErr w:type="spellStart"/>
      <w:r w:rsidRPr="005134BA">
        <w:rPr>
          <w:rStyle w:val="y2iqfc"/>
          <w:rFonts w:ascii="Arial" w:hAnsi="Arial" w:cs="Arial"/>
          <w:sz w:val="21"/>
          <w:szCs w:val="21"/>
        </w:rPr>
        <w:t>Incogniti</w:t>
      </w:r>
      <w:proofErr w:type="spellEnd"/>
      <w:r w:rsidRPr="005134BA">
        <w:rPr>
          <w:rStyle w:val="y2iqfc"/>
          <w:rFonts w:ascii="Arial" w:hAnsi="Arial" w:cs="Arial"/>
          <w:sz w:val="21"/>
          <w:szCs w:val="21"/>
        </w:rPr>
        <w:t xml:space="preserve"> </w:t>
      </w:r>
      <w:proofErr w:type="spellStart"/>
      <w:r w:rsidRPr="005134BA">
        <w:rPr>
          <w:rStyle w:val="y2iqfc"/>
          <w:rFonts w:ascii="Arial" w:hAnsi="Arial" w:cs="Arial"/>
          <w:sz w:val="21"/>
          <w:szCs w:val="21"/>
        </w:rPr>
        <w:t>arebiten</w:t>
      </w:r>
      <w:proofErr w:type="spellEnd"/>
      <w:r w:rsidRPr="005134BA">
        <w:rPr>
          <w:rStyle w:val="y2iqfc"/>
          <w:rFonts w:ascii="Arial" w:hAnsi="Arial" w:cs="Arial"/>
          <w:sz w:val="21"/>
          <w:szCs w:val="21"/>
        </w:rPr>
        <w:t xml:space="preserve"> exklusiv mit dem Label Harmonia Mundi. Die dort erschienenen Einspielungen, wie </w:t>
      </w:r>
      <w:r w:rsidR="005134BA" w:rsidRPr="005134BA">
        <w:rPr>
          <w:rStyle w:val="y2iqfc"/>
          <w:rFonts w:ascii="Arial" w:hAnsi="Arial" w:cs="Arial"/>
          <w:sz w:val="21"/>
          <w:szCs w:val="21"/>
        </w:rPr>
        <w:t>Vivaldi, Pachelbel, C.P.E. Bach, Haydn</w:t>
      </w:r>
      <w:r w:rsidR="005134BA" w:rsidRPr="005134BA">
        <w:rPr>
          <w:rStyle w:val="y2iqfc"/>
          <w:rFonts w:ascii="Arial" w:hAnsi="Arial" w:cs="Arial"/>
          <w:sz w:val="21"/>
          <w:szCs w:val="21"/>
        </w:rPr>
        <w:t xml:space="preserve"> w</w:t>
      </w:r>
      <w:r w:rsidRPr="005134BA">
        <w:rPr>
          <w:rStyle w:val="y2iqfc"/>
          <w:rFonts w:ascii="Arial" w:hAnsi="Arial" w:cs="Arial"/>
          <w:sz w:val="21"/>
          <w:szCs w:val="21"/>
        </w:rPr>
        <w:t>urden von Presse und Publikum</w:t>
      </w:r>
      <w:r w:rsidR="005134BA" w:rsidRPr="005134BA">
        <w:rPr>
          <w:rStyle w:val="y2iqfc"/>
          <w:rFonts w:ascii="Arial" w:hAnsi="Arial" w:cs="Arial"/>
          <w:sz w:val="21"/>
          <w:szCs w:val="21"/>
        </w:rPr>
        <w:t xml:space="preserve"> einstimmig gelobt. </w:t>
      </w:r>
    </w:p>
    <w:p w14:paraId="25BBD3E0" w14:textId="77777777" w:rsidR="000D64C0" w:rsidRPr="005134BA" w:rsidRDefault="000D64C0" w:rsidP="009342E5">
      <w:pPr>
        <w:pStyle w:val="HTMLVorformatiert"/>
        <w:jc w:val="both"/>
        <w:rPr>
          <w:rStyle w:val="y2iqfc"/>
          <w:rFonts w:ascii="Arial" w:hAnsi="Arial" w:cs="Arial"/>
          <w:sz w:val="21"/>
          <w:szCs w:val="21"/>
        </w:rPr>
      </w:pPr>
    </w:p>
    <w:p w14:paraId="4C319FAC" w14:textId="60E0A8E2" w:rsidR="009342E5" w:rsidRPr="005134BA" w:rsidRDefault="000D64C0" w:rsidP="009342E5">
      <w:pPr>
        <w:pStyle w:val="HTMLVorformatiert"/>
        <w:jc w:val="both"/>
        <w:rPr>
          <w:rFonts w:ascii="Arial" w:hAnsi="Arial" w:cs="Arial"/>
          <w:sz w:val="21"/>
          <w:szCs w:val="21"/>
        </w:rPr>
      </w:pPr>
      <w:r w:rsidRPr="005134BA">
        <w:rPr>
          <w:rStyle w:val="y2iqfc"/>
          <w:rFonts w:ascii="Arial" w:hAnsi="Arial" w:cs="Arial"/>
          <w:sz w:val="21"/>
          <w:szCs w:val="21"/>
        </w:rPr>
        <w:t>Da s</w:t>
      </w:r>
      <w:r w:rsidR="009342E5" w:rsidRPr="005134BA">
        <w:rPr>
          <w:rStyle w:val="y2iqfc"/>
          <w:rFonts w:ascii="Arial" w:hAnsi="Arial" w:cs="Arial"/>
          <w:sz w:val="21"/>
          <w:szCs w:val="21"/>
        </w:rPr>
        <w:t xml:space="preserve">ie sich der Musikvermittlung an die jüngere Generation verpflichtet </w:t>
      </w:r>
      <w:r w:rsidRPr="005134BA">
        <w:rPr>
          <w:rStyle w:val="y2iqfc"/>
          <w:rFonts w:ascii="Arial" w:hAnsi="Arial" w:cs="Arial"/>
          <w:sz w:val="21"/>
          <w:szCs w:val="21"/>
        </w:rPr>
        <w:t xml:space="preserve">fühlen, </w:t>
      </w:r>
      <w:r w:rsidR="009342E5" w:rsidRPr="005134BA">
        <w:rPr>
          <w:rStyle w:val="y2iqfc"/>
          <w:rFonts w:ascii="Arial" w:hAnsi="Arial" w:cs="Arial"/>
          <w:sz w:val="21"/>
          <w:szCs w:val="21"/>
        </w:rPr>
        <w:t xml:space="preserve">veranstalten Gli Incogniti seit 2017 </w:t>
      </w:r>
      <w:r w:rsidR="009342E5" w:rsidRPr="005134BA">
        <w:rPr>
          <w:rFonts w:ascii="Arial" w:hAnsi="Arial" w:cs="Arial"/>
          <w:bCs/>
          <w:i/>
          <w:sz w:val="21"/>
          <w:szCs w:val="21"/>
        </w:rPr>
        <w:t xml:space="preserve">am Théâtre des </w:t>
      </w:r>
      <w:proofErr w:type="spellStart"/>
      <w:r w:rsidR="009342E5" w:rsidRPr="005134BA">
        <w:rPr>
          <w:rFonts w:ascii="Arial" w:hAnsi="Arial" w:cs="Arial"/>
          <w:bCs/>
          <w:i/>
          <w:sz w:val="21"/>
          <w:szCs w:val="21"/>
        </w:rPr>
        <w:t>Quatre</w:t>
      </w:r>
      <w:proofErr w:type="spellEnd"/>
      <w:r w:rsidR="009342E5" w:rsidRPr="005134BA">
        <w:rPr>
          <w:rFonts w:ascii="Arial" w:hAnsi="Arial" w:cs="Arial"/>
          <w:bCs/>
          <w:i/>
          <w:sz w:val="21"/>
          <w:szCs w:val="21"/>
        </w:rPr>
        <w:t xml:space="preserve"> Saisons</w:t>
      </w:r>
      <w:r w:rsidR="009342E5" w:rsidRPr="005134BA">
        <w:rPr>
          <w:rFonts w:ascii="Arial" w:hAnsi="Arial" w:cs="Arial"/>
          <w:bCs/>
          <w:sz w:val="21"/>
          <w:szCs w:val="21"/>
        </w:rPr>
        <w:t xml:space="preserve"> (</w:t>
      </w:r>
      <w:proofErr w:type="spellStart"/>
      <w:r w:rsidR="009342E5" w:rsidRPr="005134BA">
        <w:rPr>
          <w:rFonts w:ascii="Arial" w:hAnsi="Arial" w:cs="Arial"/>
          <w:bCs/>
          <w:sz w:val="21"/>
          <w:szCs w:val="21"/>
        </w:rPr>
        <w:t>Gradignan</w:t>
      </w:r>
      <w:proofErr w:type="spellEnd"/>
      <w:r w:rsidR="009342E5" w:rsidRPr="005134BA">
        <w:rPr>
          <w:rFonts w:ascii="Arial" w:hAnsi="Arial" w:cs="Arial"/>
          <w:bCs/>
          <w:sz w:val="21"/>
          <w:szCs w:val="21"/>
        </w:rPr>
        <w:t>, France)</w:t>
      </w:r>
      <w:r w:rsidR="009342E5" w:rsidRPr="005134BA">
        <w:rPr>
          <w:rStyle w:val="y2iqfc"/>
          <w:rFonts w:ascii="Arial" w:hAnsi="Arial" w:cs="Arial"/>
          <w:sz w:val="21"/>
          <w:szCs w:val="21"/>
        </w:rPr>
        <w:t xml:space="preserve"> Kurse für Kammermusik und Körperarbeit</w:t>
      </w:r>
      <w:r w:rsidR="009342E5" w:rsidRPr="005134BA">
        <w:rPr>
          <w:rFonts w:ascii="Arial" w:hAnsi="Arial" w:cs="Arial"/>
          <w:bCs/>
          <w:sz w:val="21"/>
          <w:szCs w:val="21"/>
        </w:rPr>
        <w:t xml:space="preserve"> </w:t>
      </w:r>
      <w:r w:rsidR="009342E5" w:rsidRPr="005134BA">
        <w:rPr>
          <w:rStyle w:val="y2iqfc"/>
          <w:rFonts w:ascii="Arial" w:hAnsi="Arial" w:cs="Arial"/>
          <w:sz w:val="21"/>
          <w:szCs w:val="21"/>
        </w:rPr>
        <w:t>für junge Barockensembles, Studenten oder Einsteiger.</w:t>
      </w:r>
    </w:p>
    <w:p w14:paraId="26C75431" w14:textId="77777777" w:rsidR="009342E5" w:rsidRPr="00E471E2" w:rsidRDefault="009342E5" w:rsidP="009342E5">
      <w:pPr>
        <w:pStyle w:val="HTMLVorformatiert"/>
        <w:jc w:val="both"/>
        <w:rPr>
          <w:rStyle w:val="y2iqfc"/>
          <w:rFonts w:ascii="Arial" w:hAnsi="Arial" w:cs="Arial"/>
          <w:color w:val="000000" w:themeColor="text1"/>
          <w:sz w:val="21"/>
          <w:szCs w:val="21"/>
        </w:rPr>
      </w:pPr>
    </w:p>
    <w:p w14:paraId="47F592F3" w14:textId="2EB92B70" w:rsidR="009342E5" w:rsidRPr="000D64C0" w:rsidRDefault="009342E5" w:rsidP="009342E5">
      <w:pPr>
        <w:pStyle w:val="HTMLVorformatiert"/>
        <w:jc w:val="both"/>
        <w:rPr>
          <w:rStyle w:val="y2iqfc"/>
          <w:rFonts w:ascii="Arial" w:hAnsi="Arial" w:cs="Arial"/>
          <w:color w:val="000000" w:themeColor="text1"/>
          <w:sz w:val="21"/>
          <w:szCs w:val="21"/>
        </w:rPr>
      </w:pP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>Gli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>Incogniti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>erhält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die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>Unterstützung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des </w:t>
      </w:r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  <w:lang w:val="fr-FR"/>
        </w:rPr>
        <w:t>DRAC Nouvelle-Aquitaine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, der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>Region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</w:t>
      </w:r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  <w:lang w:val="fr-FR"/>
        </w:rPr>
        <w:t>Nouvelle-Aquitaine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</w:t>
      </w:r>
      <w:proofErr w:type="spellStart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>und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 des </w:t>
      </w:r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  <w:lang w:val="fr-FR"/>
        </w:rPr>
        <w:t>Départements de la Gironde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  <w:lang w:val="fr-FR"/>
        </w:rPr>
        <w:t xml:space="preserve">. </w:t>
      </w:r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Sie werden regelmäßig von </w:t>
      </w:r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</w:rPr>
        <w:t xml:space="preserve">Adami, </w:t>
      </w:r>
      <w:proofErr w:type="spellStart"/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</w:rPr>
        <w:t>Spedidam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und </w:t>
      </w:r>
      <w:proofErr w:type="gramStart"/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</w:rPr>
        <w:t>CNM Export</w:t>
      </w:r>
      <w:proofErr w:type="gram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für ihre Aufführungs- und Aufnahmeaktivitäten und von der </w:t>
      </w:r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</w:rPr>
        <w:t xml:space="preserve">Caisse des </w:t>
      </w:r>
      <w:proofErr w:type="spellStart"/>
      <w:r w:rsidRPr="00E471E2">
        <w:rPr>
          <w:rStyle w:val="y2iqfc"/>
          <w:rFonts w:ascii="Arial" w:hAnsi="Arial" w:cs="Arial"/>
          <w:i/>
          <w:color w:val="000000" w:themeColor="text1"/>
          <w:sz w:val="21"/>
          <w:szCs w:val="21"/>
        </w:rPr>
        <w:t>Dépôts</w:t>
      </w:r>
      <w:proofErr w:type="spellEnd"/>
      <w:r w:rsidRPr="00E471E2">
        <w:rPr>
          <w:rStyle w:val="y2iqfc"/>
          <w:rFonts w:ascii="Arial" w:hAnsi="Arial" w:cs="Arial"/>
          <w:color w:val="000000" w:themeColor="text1"/>
          <w:sz w:val="21"/>
          <w:szCs w:val="21"/>
        </w:rPr>
        <w:t xml:space="preserve"> für ihre Akademie gefördert.</w:t>
      </w:r>
    </w:p>
    <w:p w14:paraId="33134221" w14:textId="77777777" w:rsidR="009342E5" w:rsidRPr="00692559" w:rsidRDefault="009342E5" w:rsidP="009342E5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de-DE"/>
        </w:rPr>
      </w:pPr>
    </w:p>
    <w:p w14:paraId="04DCBB44" w14:textId="77777777" w:rsidR="007C1606" w:rsidRDefault="007C1606" w:rsidP="009342E5"/>
    <w:p w14:paraId="458C78A2" w14:textId="77777777" w:rsidR="005134BA" w:rsidRPr="003D27C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de-DE"/>
        </w:rPr>
      </w:pPr>
    </w:p>
    <w:p w14:paraId="38FCB2C6" w14:textId="77777777" w:rsidR="005134BA" w:rsidRPr="007A16C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</w:pPr>
      <w:proofErr w:type="spellStart"/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>Gefördert</w:t>
      </w:r>
      <w:proofErr w:type="spellEnd"/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 </w:t>
      </w:r>
      <w:proofErr w:type="spellStart"/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>durch</w:t>
      </w:r>
      <w:proofErr w:type="spellEnd"/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: </w:t>
      </w:r>
    </w:p>
    <w:p w14:paraId="51631A30" w14:textId="77777777" w:rsidR="005134B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</w:pPr>
    </w:p>
    <w:p w14:paraId="61F08F7B" w14:textId="77777777" w:rsidR="005134B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</w:pPr>
      <w:r>
        <w:rPr>
          <w:noProof/>
          <w:lang w:val="de-DE" w:eastAsia="de-DE"/>
        </w:rPr>
        <w:drawing>
          <wp:inline distT="0" distB="0" distL="0" distR="0" wp14:anchorId="0B539601" wp14:editId="20AE59B7">
            <wp:extent cx="617220" cy="783076"/>
            <wp:effectExtent l="0" t="0" r="0" b="0"/>
            <wp:docPr id="3" name="Grafik 3" descr="Ein Bild, das Text, Schrift, Screensho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hrift, Screenshot, Logo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377" cy="79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  </w:t>
      </w:r>
      <w:r>
        <w:rPr>
          <w:noProof/>
          <w:lang w:val="de-DE" w:eastAsia="de-DE"/>
        </w:rPr>
        <w:drawing>
          <wp:inline distT="0" distB="0" distL="0" distR="0" wp14:anchorId="5BB4818B" wp14:editId="36DA96F3">
            <wp:extent cx="1717480" cy="762000"/>
            <wp:effectExtent l="0" t="0" r="0" b="0"/>
            <wp:docPr id="4" name="Grafik 4" descr="Ein Bild, das Schrift, Grafiken, Tex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chrift, Grafiken, Text, Grafikdesign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1099" cy="78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   </w:t>
      </w:r>
      <w:r w:rsidRPr="00C46EBE">
        <w:rPr>
          <w:rStyle w:val="Hervorhebung"/>
          <w:rFonts w:ascii="Arial" w:hAnsi="Arial" w:cs="Arial"/>
          <w:i w:val="0"/>
          <w:noProof/>
          <w:sz w:val="22"/>
          <w:szCs w:val="22"/>
          <w:bdr w:val="none" w:sz="0" w:space="0" w:color="auto" w:frame="1"/>
          <w:shd w:val="clear" w:color="auto" w:fill="FFFFFF"/>
          <w:lang w:val="en-ZA"/>
        </w:rPr>
        <w:drawing>
          <wp:inline distT="0" distB="0" distL="0" distR="0" wp14:anchorId="7ADDBFDE" wp14:editId="28168E74">
            <wp:extent cx="1819275" cy="736261"/>
            <wp:effectExtent l="0" t="0" r="0" b="6985"/>
            <wp:docPr id="5" name="Grafik 5" descr="Ein Bild, das Schrift, Tex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Schrift, Text, Logo, Grafiken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8674" cy="73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D5F09" w14:textId="77777777" w:rsidR="005134BA" w:rsidRPr="007A16C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</w:pPr>
    </w:p>
    <w:p w14:paraId="4FF3D80D" w14:textId="77777777" w:rsidR="005134BA" w:rsidRPr="007A16C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</w:pPr>
    </w:p>
    <w:p w14:paraId="58B44742" w14:textId="77777777" w:rsidR="005134BA" w:rsidRPr="007A16CA" w:rsidRDefault="005134BA" w:rsidP="005134BA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</w:pPr>
    </w:p>
    <w:p w14:paraId="171E9555" w14:textId="77777777" w:rsidR="005134BA" w:rsidRPr="007A16CA" w:rsidRDefault="005134BA" w:rsidP="005134BA">
      <w:pPr>
        <w:pStyle w:val="Textkrper"/>
        <w:jc w:val="right"/>
        <w:rPr>
          <w:rFonts w:ascii="Arial" w:eastAsia="Calibri" w:hAnsi="Arial" w:cs="Arial"/>
          <w:sz w:val="22"/>
          <w:szCs w:val="22"/>
          <w:lang w:val="en-ZA"/>
        </w:rPr>
      </w:pPr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Stand: </w:t>
      </w:r>
      <w:proofErr w:type="spellStart"/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>Januar</w:t>
      </w:r>
      <w:proofErr w:type="spellEnd"/>
      <w:r>
        <w:rPr>
          <w:rStyle w:val="Hervorhebung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 2024</w:t>
      </w:r>
    </w:p>
    <w:p w14:paraId="588D7348" w14:textId="77777777" w:rsidR="005134BA" w:rsidRPr="009342E5" w:rsidRDefault="005134BA" w:rsidP="009342E5"/>
    <w:sectPr w:rsidR="005134BA" w:rsidRPr="009342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D84"/>
    <w:rsid w:val="000D64C0"/>
    <w:rsid w:val="004B4772"/>
    <w:rsid w:val="005134BA"/>
    <w:rsid w:val="007B4984"/>
    <w:rsid w:val="007C1606"/>
    <w:rsid w:val="008C3743"/>
    <w:rsid w:val="008F1E3F"/>
    <w:rsid w:val="009342E5"/>
    <w:rsid w:val="009A4F8F"/>
    <w:rsid w:val="00B73E5A"/>
    <w:rsid w:val="00BF4D84"/>
    <w:rsid w:val="00E4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11BF"/>
  <w15:docId w15:val="{38FFB48F-DA0E-4728-A5C8-1BF29947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4772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B4772"/>
    <w:pPr>
      <w:spacing w:after="0" w:line="240" w:lineRule="auto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4B4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4B4772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y2iqfc">
    <w:name w:val="y2iqfc"/>
    <w:basedOn w:val="Absatz-Standardschriftart"/>
    <w:rsid w:val="004B4772"/>
  </w:style>
  <w:style w:type="paragraph" w:styleId="Textkrper">
    <w:name w:val="Body Text"/>
    <w:basedOn w:val="Standard"/>
    <w:link w:val="TextkrperZchn"/>
    <w:rsid w:val="009342E5"/>
    <w:pPr>
      <w:spacing w:after="0" w:line="240" w:lineRule="auto"/>
      <w:jc w:val="both"/>
    </w:pPr>
    <w:rPr>
      <w:rFonts w:ascii="Times" w:eastAsia="Times" w:hAnsi="Times" w:cs="Times New Roman"/>
      <w:sz w:val="24"/>
      <w:szCs w:val="20"/>
      <w:lang w:val="es-ES_tradnl" w:eastAsia="fr-FR"/>
    </w:rPr>
  </w:style>
  <w:style w:type="character" w:customStyle="1" w:styleId="TextkrperZchn">
    <w:name w:val="Textkörper Zchn"/>
    <w:basedOn w:val="Absatz-Standardschriftart"/>
    <w:link w:val="Textkrper"/>
    <w:rsid w:val="009342E5"/>
    <w:rPr>
      <w:rFonts w:ascii="Times" w:eastAsia="Times" w:hAnsi="Times" w:cs="Times New Roman"/>
      <w:sz w:val="24"/>
      <w:szCs w:val="20"/>
      <w:lang w:val="es-ES_tradnl" w:eastAsia="fr-FR"/>
    </w:rPr>
  </w:style>
  <w:style w:type="character" w:styleId="Hervorhebung">
    <w:name w:val="Emphasis"/>
    <w:uiPriority w:val="20"/>
    <w:qFormat/>
    <w:rsid w:val="009342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Albina Alba</cp:lastModifiedBy>
  <cp:revision>3</cp:revision>
  <dcterms:created xsi:type="dcterms:W3CDTF">2024-01-15T12:35:00Z</dcterms:created>
  <dcterms:modified xsi:type="dcterms:W3CDTF">2024-01-22T10:40:00Z</dcterms:modified>
</cp:coreProperties>
</file>