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Rosas danst Rosas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Anne Teresa De Keersmaeker/Rosas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171716"/>
          <w:sz w:val="20"/>
          <w:szCs w:val="20"/>
        </w:rPr>
      </w:pPr>
      <w:r w:rsidDel="00000000" w:rsidR="00000000" w:rsidRPr="00000000">
        <w:rPr>
          <w:b w:val="1"/>
          <w:color w:val="171716"/>
          <w:sz w:val="20"/>
          <w:szCs w:val="20"/>
          <w:rtl w:val="0"/>
        </w:rPr>
        <w:t xml:space="preserve">Choreografie / Chorégraphie / Choreography </w:t>
      </w:r>
      <w:r w:rsidDel="00000000" w:rsidR="00000000" w:rsidRPr="00000000">
        <w:rPr>
          <w:color w:val="171716"/>
          <w:sz w:val="20"/>
          <w:szCs w:val="20"/>
          <w:rtl w:val="0"/>
        </w:rPr>
        <w:t xml:space="preserve"> 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Anne Teresa De Keersmaeker</w:t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Gedanst door / Dansé par / Danced by</w:t>
      </w:r>
      <w:r w:rsidDel="00000000" w:rsidR="00000000" w:rsidRPr="00000000">
        <w:rPr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tbc</w:t>
      </w:r>
      <w:r w:rsidDel="00000000" w:rsidR="00000000" w:rsidRPr="00000000">
        <w:rPr>
          <w:sz w:val="20"/>
          <w:szCs w:val="20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Gecreëerd met (1983) / Créé avec (1983) / Created with (1983)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Anne Teresa De Keersmaeker, Adriana Borriello, Michèle Anne De Mey, Fumiyo Ikeda</w:t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Muziek / Musique / Music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Thierry De Mey, Peter Vermeersch</w:t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Muzikanten (opname) / Musiciens (enregistrement) / Musicians (recording)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Thierry De Mey (percussie en piano / percussions et piano / percussion and piano) , Walter Hus (piano), Eric Sleichim (saxofoon / saxophone), Peter Vermeersch (klarinet / clarinette / clarinet)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Licht / Lumières / Lighting Design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Remon Fromont</w:t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Kostuums / Costumes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Rosas</w:t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Repetitieleiding / Direction des répétitions / Rehearsal Directors</w:t>
      </w:r>
    </w:p>
    <w:p w:rsidR="00000000" w:rsidDel="00000000" w:rsidP="00000000" w:rsidRDefault="00000000" w:rsidRPr="00000000" w14:paraId="00000018">
      <w:pPr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tbc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b w:val="1"/>
          <w:color w:val="171716"/>
          <w:sz w:val="20"/>
          <w:szCs w:val="20"/>
        </w:rPr>
      </w:pPr>
      <w:r w:rsidDel="00000000" w:rsidR="00000000" w:rsidRPr="00000000">
        <w:rPr>
          <w:b w:val="1"/>
          <w:color w:val="171716"/>
          <w:sz w:val="20"/>
          <w:szCs w:val="20"/>
          <w:rtl w:val="0"/>
        </w:rPr>
        <w:t xml:space="preserve">Artistieke coördinatie en planning / Coordination artistique et planning / Artistic Coordination and Planning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Anne Van Aerschot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Assistente van de Artistiek Directeur/ Assistante à la direction artistique / Assistant to the Artistic Director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Martine Lange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Tourmanager / Tour Manager</w:t>
      </w:r>
    </w:p>
    <w:p w:rsidR="00000000" w:rsidDel="00000000" w:rsidP="00000000" w:rsidRDefault="00000000" w:rsidRPr="00000000" w14:paraId="00000021">
      <w:pPr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tbc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b w:val="1"/>
          <w:color w:val="171716"/>
          <w:sz w:val="20"/>
          <w:szCs w:val="20"/>
        </w:rPr>
      </w:pPr>
      <w:r w:rsidDel="00000000" w:rsidR="00000000" w:rsidRPr="00000000">
        <w:rPr>
          <w:b w:val="1"/>
          <w:color w:val="171716"/>
          <w:sz w:val="20"/>
          <w:szCs w:val="20"/>
          <w:rtl w:val="0"/>
        </w:rPr>
        <w:t xml:space="preserve">Technisch directeur / Directeur technique / Technical Director</w:t>
      </w:r>
    </w:p>
    <w:p w:rsidR="00000000" w:rsidDel="00000000" w:rsidP="00000000" w:rsidRDefault="00000000" w:rsidRPr="00000000" w14:paraId="00000024">
      <w:pPr>
        <w:rPr>
          <w:color w:val="171716"/>
          <w:sz w:val="20"/>
          <w:szCs w:val="20"/>
        </w:rPr>
      </w:pPr>
      <w:r w:rsidDel="00000000" w:rsidR="00000000" w:rsidRPr="00000000">
        <w:rPr>
          <w:color w:val="171716"/>
          <w:sz w:val="20"/>
          <w:szCs w:val="20"/>
          <w:rtl w:val="0"/>
        </w:rPr>
        <w:t xml:space="preserve">Thomas Verachtert</w:t>
      </w:r>
    </w:p>
    <w:p w:rsidR="00000000" w:rsidDel="00000000" w:rsidP="00000000" w:rsidRDefault="00000000" w:rsidRPr="00000000" w14:paraId="00000025">
      <w:pPr>
        <w:rPr>
          <w:color w:val="17171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171716"/>
          <w:sz w:val="20"/>
          <w:szCs w:val="20"/>
        </w:rPr>
      </w:pPr>
      <w:r w:rsidDel="00000000" w:rsidR="00000000" w:rsidRPr="00000000">
        <w:rPr>
          <w:b w:val="1"/>
          <w:color w:val="171716"/>
          <w:sz w:val="20"/>
          <w:szCs w:val="20"/>
          <w:rtl w:val="0"/>
        </w:rPr>
        <w:t xml:space="preserve">Technici / Techniciens / Technicians</w:t>
      </w:r>
    </w:p>
    <w:p w:rsidR="00000000" w:rsidDel="00000000" w:rsidP="00000000" w:rsidRDefault="00000000" w:rsidRPr="00000000" w14:paraId="00000027">
      <w:pPr>
        <w:rPr>
          <w:color w:val="171716"/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tbc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171716"/>
          <w:sz w:val="20"/>
          <w:szCs w:val="20"/>
        </w:rPr>
      </w:pPr>
      <w:r w:rsidDel="00000000" w:rsidR="00000000" w:rsidRPr="00000000">
        <w:rPr>
          <w:color w:val="171716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color w:val="171716"/>
          <w:sz w:val="20"/>
          <w:szCs w:val="20"/>
          <w:rtl w:val="0"/>
        </w:rPr>
        <w:t xml:space="preserve">Coördinator Kostuums / Chef costumière / Costumes Coordinator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Veerle Van den Wouwer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Geassisteerd door / assistée par / assisted by</w:t>
      </w:r>
      <w:r w:rsidDel="00000000" w:rsidR="00000000" w:rsidRPr="00000000">
        <w:rPr>
          <w:sz w:val="20"/>
          <w:szCs w:val="20"/>
          <w:rtl w:val="0"/>
        </w:rPr>
        <w:t xml:space="preserve"> Els Van Buggenhout and Chiara Mazzarolo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Kleedster / Habillage / Wardrobe</w:t>
        <w:br w:type="textWrapping"/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tbc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W</w:t>
      </w:r>
      <w:r w:rsidDel="00000000" w:rsidR="00000000" w:rsidRPr="00000000">
        <w:rPr>
          <w:b w:val="1"/>
          <w:sz w:val="20"/>
          <w:szCs w:val="20"/>
          <w:rtl w:val="0"/>
        </w:rPr>
        <w:t xml:space="preserve">ereldpremière / Première Mondiale / World Premiere </w:t>
      </w:r>
    </w:p>
    <w:p w:rsidR="00000000" w:rsidDel="00000000" w:rsidP="00000000" w:rsidRDefault="00000000" w:rsidRPr="00000000" w14:paraId="0000002E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 / 05 / 1983, Théâtre de la Balsamine, Brussel / Bruxelles / Brussels,</w:t>
      </w:r>
    </w:p>
    <w:p w:rsidR="00000000" w:rsidDel="00000000" w:rsidP="00000000" w:rsidRDefault="00000000" w:rsidRPr="00000000" w14:paraId="0000002F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Presentatie / Présentation / Presentation Kaaitheaterfestival</w:t>
      </w:r>
    </w:p>
    <w:p w:rsidR="00000000" w:rsidDel="00000000" w:rsidP="00000000" w:rsidRDefault="00000000" w:rsidRPr="00000000" w14:paraId="00000030">
      <w:pPr>
        <w:shd w:fill="ffffff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bottom w:color="auto" w:space="12" w:sz="0" w:val="none"/>
        </w:pBdr>
        <w:shd w:fill="ffffff" w:val="clear"/>
        <w:spacing w:line="342.8568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Productie 1983 / Production 1983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Creatie / Création / Creation 1983: Rosas, Kaaitheater, Klapstuk </w:t>
        <w:br w:type="textWrapping"/>
        <w:t xml:space="preserve">Herneming / Reprise / Rerun 2026: Rosas</w:t>
        <w:br w:type="textWrapping"/>
      </w:r>
    </w:p>
    <w:p w:rsidR="00000000" w:rsidDel="00000000" w:rsidP="00000000" w:rsidRDefault="00000000" w:rsidRPr="00000000" w14:paraId="00000032">
      <w:pPr>
        <w:pBdr>
          <w:bottom w:color="auto" w:space="12" w:sz="0" w:val="none"/>
        </w:pBdr>
        <w:shd w:fill="ffffff" w:val="clear"/>
        <w:spacing w:line="342.8568" w:lineRule="auto"/>
        <w:rPr>
          <w:b w:val="1"/>
          <w:color w:val="171716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Coproductie / Coproduction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Coproduction Early Works: Sadler’s Wells (Londen/Londres/London), Les Théâtres de la Ville de Luxembourg</w:t>
        <w:br w:type="textWrapping"/>
        <w:t xml:space="preserve">Herneming / Reprise / Rerun 2017: De Munt / La Monnaie (Brussel/Bruxelles/Brussels), Sadler’s Wells (Londen/Londres/London), Les Théâtres de la Ville de Luxembourg</w:t>
        <w:br w:type="textWrapping"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Herneming / Reprise / Rerun 2026: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Dance Reflections by Van Cleef &amp; Arpels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Duur/ Durée / Running time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1:35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Bdr>
          <w:bottom w:color="auto" w:space="12" w:sz="0" w:val="none"/>
        </w:pBdr>
        <w:shd w:fill="ffffff" w:val="clear"/>
        <w:spacing w:line="342.8568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Met de steun van / Avec le soutien de / With the support of Dance Reflections by Van Cleef &amp; Arpels</w:t>
        <w:br w:type="textWrapping"/>
        <w:br w:type="textWrapping"/>
        <w:t xml:space="preserve">Rosas wordt ondersteund door de Vlaamse Gemeenschap en de Vlaamse Gemeenschapscommissie (VGC). / Rosas bénéficie du soutien de la Communauté flamande et de la Commission communautaire flamande (VGC). / Rosas is supported by the Flemish Community and the Flemish Community Commission (VGC).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Yellow = TO BE CONFIRMED These credits are provisional, please always confirm this list with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highlight w:val="yellow"/>
            <w:u w:val="single"/>
            <w:rtl w:val="0"/>
          </w:rPr>
          <w:t xml:space="preserve">nadia.verbeeck@rosas.be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dia.verbeeck@rosa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